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9126" w14:textId="296F10AE" w:rsidR="008E179D" w:rsidRPr="00436E27" w:rsidRDefault="00BE35D0" w:rsidP="00BE35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</w:pPr>
      <w:r w:rsidRPr="00436E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ANNEX IV - APPLICABLE </w:t>
      </w:r>
      <w:r w:rsidR="00D36C2F" w:rsidRPr="00436E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RATES </w:t>
      </w:r>
      <w:r w:rsidRPr="00436E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>FOR UNIT CONTRIBUTIONS</w:t>
      </w:r>
    </w:p>
    <w:p w14:paraId="4C3F9129" w14:textId="201234E5" w:rsidR="00A91261" w:rsidRDefault="00A91261" w:rsidP="00AD34F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3E5D061C" w14:textId="02E67948" w:rsidR="00A55CB7" w:rsidRPr="00436E27" w:rsidRDefault="00A55CB7" w:rsidP="00436E27">
      <w:pPr>
        <w:pStyle w:val="Antrat1"/>
        <w:rPr>
          <w:u w:val="single"/>
        </w:rPr>
      </w:pPr>
      <w:r w:rsidRPr="002B74B3">
        <w:rPr>
          <w:u w:val="single"/>
        </w:rPr>
        <w:t xml:space="preserve">VOLUNTEERING, TRAINEESHIPS AND JOBS </w:t>
      </w:r>
    </w:p>
    <w:p w14:paraId="4C3F912B" w14:textId="2F2CBA0E" w:rsidR="008E179D" w:rsidRPr="00016B01" w:rsidRDefault="008E179D">
      <w:pPr>
        <w:pStyle w:val="Antrat2"/>
      </w:pPr>
      <w:r w:rsidRPr="00016B01">
        <w:t xml:space="preserve">Travel </w:t>
      </w:r>
    </w:p>
    <w:p w14:paraId="58C08170" w14:textId="77777777" w:rsidR="00A55CB7" w:rsidRPr="00436E27" w:rsidRDefault="00A55CB7" w:rsidP="00A55CB7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36E27">
        <w:rPr>
          <w:rFonts w:ascii="Times New Roman" w:hAnsi="Times New Roman"/>
          <w:sz w:val="24"/>
          <w:szCs w:val="24"/>
        </w:rPr>
        <w:t xml:space="preserve">Nota bene: the "travel distance" represents the distance between the place of origin and the venue, whereas the "amount" covers the contribution to the travel both to </w:t>
      </w:r>
      <w:r w:rsidRPr="00436E27">
        <w:rPr>
          <w:rFonts w:ascii="Times New Roman" w:hAnsi="Times New Roman"/>
          <w:sz w:val="24"/>
          <w:szCs w:val="24"/>
          <w:u w:val="single"/>
        </w:rPr>
        <w:t>and</w:t>
      </w:r>
      <w:r w:rsidRPr="00436E27">
        <w:rPr>
          <w:rFonts w:ascii="Times New Roman" w:hAnsi="Times New Roman"/>
          <w:sz w:val="24"/>
          <w:szCs w:val="24"/>
        </w:rPr>
        <w:t xml:space="preserve"> from the venue.</w:t>
      </w:r>
    </w:p>
    <w:p w14:paraId="206178DF" w14:textId="77777777" w:rsidR="00A55CB7" w:rsidRDefault="00A55CB7" w:rsidP="00436E27">
      <w:pPr>
        <w:spacing w:after="120" w:line="240" w:lineRule="auto"/>
        <w:ind w:left="2880" w:firstLine="720"/>
        <w:jc w:val="both"/>
        <w:rPr>
          <w:rFonts w:ascii="Times New Roman" w:hAnsi="Times New Roman" w:cs="Times New Roman"/>
        </w:rPr>
      </w:pPr>
    </w:p>
    <w:p w14:paraId="6C4BE73F" w14:textId="1D4742B9" w:rsidR="00A55CB7" w:rsidRDefault="00AD34F3" w:rsidP="00436E27">
      <w:pPr>
        <w:spacing w:after="120" w:line="240" w:lineRule="auto"/>
        <w:ind w:left="2880" w:firstLine="720"/>
        <w:jc w:val="both"/>
        <w:rPr>
          <w:rFonts w:ascii="Times New Roman" w:hAnsi="Times New Roman" w:cs="Times New Roman"/>
          <w:u w:val="single"/>
        </w:rPr>
      </w:pPr>
      <w:r w:rsidRPr="00AD34F3">
        <w:rPr>
          <w:rFonts w:ascii="Times New Roman" w:hAnsi="Times New Roman" w:cs="Times New Roman"/>
          <w:u w:val="single"/>
        </w:rPr>
        <w:t>Table 1 – Travel rates</w:t>
      </w:r>
      <w:bookmarkStart w:id="0" w:name="_GoBack"/>
      <w:bookmarkEnd w:id="0"/>
    </w:p>
    <w:p w14:paraId="51D76855" w14:textId="77777777" w:rsidR="00A55CB7" w:rsidRPr="00AD34F3" w:rsidRDefault="00A55CB7" w:rsidP="00436E27">
      <w:pPr>
        <w:spacing w:after="120" w:line="240" w:lineRule="auto"/>
        <w:ind w:left="2880" w:firstLine="720"/>
        <w:jc w:val="both"/>
        <w:rPr>
          <w:rFonts w:ascii="Times New Roman" w:hAnsi="Times New Roman" w:cs="Times New Roman"/>
          <w:u w:val="single"/>
        </w:rPr>
      </w:pPr>
    </w:p>
    <w:tbl>
      <w:tblPr>
        <w:tblW w:w="252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76"/>
        <w:gridCol w:w="1688"/>
      </w:tblGrid>
      <w:tr w:rsidR="00016B01" w:rsidRPr="006E7525" w14:paraId="3699D77D" w14:textId="77777777" w:rsidTr="00016B01">
        <w:trPr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FBE679E" w14:textId="28C96E95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Travel rates</w:t>
            </w:r>
          </w:p>
        </w:tc>
      </w:tr>
      <w:tr w:rsidR="00016B01" w:rsidRPr="006E7525" w14:paraId="1749C668" w14:textId="77777777" w:rsidTr="00016B01">
        <w:trPr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00DC1CCE" w14:textId="76D570C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(EUR per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participant</w:t>
            </w: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16B01" w:rsidRPr="006E7525" w14:paraId="69278535" w14:textId="77777777" w:rsidTr="00016B01"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3A0C162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16B01" w:rsidRPr="006E7525" w14:paraId="4C3F9131" w14:textId="77777777" w:rsidTr="00016B01">
        <w:trPr>
          <w:jc w:val="center"/>
        </w:trPr>
        <w:tc>
          <w:tcPr>
            <w:tcW w:w="3190" w:type="pct"/>
            <w:shd w:val="clear" w:color="auto" w:fill="BFBFBF" w:themeFill="background1" w:themeFillShade="BF"/>
            <w:vAlign w:val="center"/>
          </w:tcPr>
          <w:p w14:paraId="4C3F912F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Travel distances</w:t>
            </w:r>
          </w:p>
        </w:tc>
        <w:tc>
          <w:tcPr>
            <w:tcW w:w="1810" w:type="pct"/>
            <w:shd w:val="clear" w:color="auto" w:fill="BFBFBF" w:themeFill="background1" w:themeFillShade="BF"/>
            <w:vAlign w:val="center"/>
          </w:tcPr>
          <w:p w14:paraId="4C3F9130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Amount</w:t>
            </w:r>
          </w:p>
        </w:tc>
      </w:tr>
      <w:tr w:rsidR="00016B01" w:rsidRPr="006E7525" w14:paraId="4C3F9134" w14:textId="77777777" w:rsidTr="00016B01">
        <w:trPr>
          <w:trHeight w:val="236"/>
          <w:jc w:val="center"/>
        </w:trPr>
        <w:tc>
          <w:tcPr>
            <w:tcW w:w="3190" w:type="pct"/>
            <w:vAlign w:val="center"/>
          </w:tcPr>
          <w:p w14:paraId="4C3F9132" w14:textId="673E1FB6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Between 10 and 99 KM</w:t>
            </w:r>
          </w:p>
        </w:tc>
        <w:tc>
          <w:tcPr>
            <w:tcW w:w="1810" w:type="pct"/>
            <w:vAlign w:val="center"/>
          </w:tcPr>
          <w:p w14:paraId="4C3F9133" w14:textId="3BCA4C74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20 </w:t>
            </w:r>
          </w:p>
        </w:tc>
      </w:tr>
      <w:tr w:rsidR="00016B01" w:rsidRPr="006E7525" w14:paraId="4C3F9137" w14:textId="77777777" w:rsidTr="00016B01">
        <w:trPr>
          <w:trHeight w:val="236"/>
          <w:jc w:val="center"/>
        </w:trPr>
        <w:tc>
          <w:tcPr>
            <w:tcW w:w="3190" w:type="pct"/>
            <w:vAlign w:val="center"/>
          </w:tcPr>
          <w:p w14:paraId="4C3F9135" w14:textId="7D276A3B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Between 100 and 499 KM</w:t>
            </w:r>
          </w:p>
        </w:tc>
        <w:tc>
          <w:tcPr>
            <w:tcW w:w="1810" w:type="pct"/>
            <w:vAlign w:val="center"/>
          </w:tcPr>
          <w:p w14:paraId="4C3F9136" w14:textId="5AE3CB51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180 </w:t>
            </w:r>
          </w:p>
        </w:tc>
      </w:tr>
      <w:tr w:rsidR="00016B01" w:rsidRPr="006E7525" w14:paraId="4C3F913A" w14:textId="77777777" w:rsidTr="00016B01">
        <w:trPr>
          <w:trHeight w:val="268"/>
          <w:jc w:val="center"/>
        </w:trPr>
        <w:tc>
          <w:tcPr>
            <w:tcW w:w="3190" w:type="pct"/>
            <w:vAlign w:val="center"/>
          </w:tcPr>
          <w:p w14:paraId="4C3F9138" w14:textId="2163C8DC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Between 500 and 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999 KM</w:t>
            </w:r>
          </w:p>
        </w:tc>
        <w:tc>
          <w:tcPr>
            <w:tcW w:w="1810" w:type="pct"/>
            <w:vAlign w:val="center"/>
          </w:tcPr>
          <w:p w14:paraId="4C3F9139" w14:textId="6FFBBFB5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275 </w:t>
            </w:r>
          </w:p>
        </w:tc>
      </w:tr>
      <w:tr w:rsidR="00016B01" w:rsidRPr="006E7525" w14:paraId="4C3F913D" w14:textId="77777777" w:rsidTr="00016B01">
        <w:trPr>
          <w:trHeight w:val="272"/>
          <w:jc w:val="center"/>
        </w:trPr>
        <w:tc>
          <w:tcPr>
            <w:tcW w:w="3190" w:type="pct"/>
            <w:vAlign w:val="center"/>
          </w:tcPr>
          <w:p w14:paraId="4C3F913B" w14:textId="5FCF96CA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Between 2 000 and 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999 KM</w:t>
            </w:r>
          </w:p>
        </w:tc>
        <w:tc>
          <w:tcPr>
            <w:tcW w:w="1810" w:type="pct"/>
            <w:vAlign w:val="center"/>
          </w:tcPr>
          <w:p w14:paraId="4C3F913C" w14:textId="27F6886E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360 </w:t>
            </w:r>
          </w:p>
        </w:tc>
      </w:tr>
      <w:tr w:rsidR="00016B01" w:rsidRPr="006E7525" w14:paraId="4C3F9140" w14:textId="77777777" w:rsidTr="00016B01">
        <w:trPr>
          <w:trHeight w:val="262"/>
          <w:jc w:val="center"/>
        </w:trPr>
        <w:tc>
          <w:tcPr>
            <w:tcW w:w="3190" w:type="pct"/>
            <w:vAlign w:val="center"/>
          </w:tcPr>
          <w:p w14:paraId="4C3F913E" w14:textId="47F18FE9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Between 3 000 and 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999 KM</w:t>
            </w:r>
          </w:p>
        </w:tc>
        <w:tc>
          <w:tcPr>
            <w:tcW w:w="1810" w:type="pct"/>
            <w:vAlign w:val="center"/>
          </w:tcPr>
          <w:p w14:paraId="4C3F913F" w14:textId="37DC993C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530 </w:t>
            </w:r>
          </w:p>
        </w:tc>
      </w:tr>
      <w:tr w:rsidR="00016B01" w:rsidRPr="006E7525" w14:paraId="4C3F9143" w14:textId="77777777" w:rsidTr="00016B01">
        <w:trPr>
          <w:trHeight w:val="280"/>
          <w:jc w:val="center"/>
        </w:trPr>
        <w:tc>
          <w:tcPr>
            <w:tcW w:w="3190" w:type="pct"/>
            <w:vAlign w:val="center"/>
          </w:tcPr>
          <w:p w14:paraId="4C3F9141" w14:textId="17B3D760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Between 4 000 and 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999 KM</w:t>
            </w:r>
          </w:p>
        </w:tc>
        <w:tc>
          <w:tcPr>
            <w:tcW w:w="1810" w:type="pct"/>
            <w:vAlign w:val="center"/>
          </w:tcPr>
          <w:p w14:paraId="4C3F9142" w14:textId="24EF7242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820 </w:t>
            </w:r>
          </w:p>
        </w:tc>
      </w:tr>
      <w:tr w:rsidR="00016B01" w:rsidRPr="006E7525" w14:paraId="4C3F9146" w14:textId="77777777" w:rsidTr="00016B01">
        <w:trPr>
          <w:trHeight w:val="270"/>
          <w:jc w:val="center"/>
        </w:trPr>
        <w:tc>
          <w:tcPr>
            <w:tcW w:w="3190" w:type="pct"/>
            <w:vAlign w:val="center"/>
          </w:tcPr>
          <w:p w14:paraId="4C3F9144" w14:textId="4668C13E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000 KM or more</w:t>
            </w:r>
          </w:p>
        </w:tc>
        <w:tc>
          <w:tcPr>
            <w:tcW w:w="1810" w:type="pct"/>
            <w:vAlign w:val="center"/>
          </w:tcPr>
          <w:p w14:paraId="4C3F9145" w14:textId="10FF1131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1 500 </w:t>
            </w:r>
          </w:p>
        </w:tc>
      </w:tr>
    </w:tbl>
    <w:p w14:paraId="0D16DB0F" w14:textId="77777777" w:rsidR="00A55CB7" w:rsidRDefault="00A55CB7" w:rsidP="00AD34F3">
      <w:pPr>
        <w:spacing w:after="120" w:line="240" w:lineRule="auto"/>
        <w:jc w:val="both"/>
        <w:rPr>
          <w:rFonts w:ascii="Times New Roman" w:hAnsi="Times New Roman"/>
        </w:rPr>
      </w:pPr>
    </w:p>
    <w:p w14:paraId="4C3F918B" w14:textId="64A08361" w:rsidR="00DE37ED" w:rsidRPr="000D7CB9" w:rsidRDefault="00AD34F3">
      <w:pPr>
        <w:pStyle w:val="Antrat2"/>
      </w:pPr>
      <w:r w:rsidRPr="00016B01">
        <w:t>Organisational</w:t>
      </w:r>
      <w:r w:rsidR="008E179D" w:rsidRPr="00016B01">
        <w:t xml:space="preserve"> support</w:t>
      </w:r>
      <w:r w:rsidR="009D6416" w:rsidRPr="00016B01">
        <w:t>:</w:t>
      </w:r>
      <w:r w:rsidR="009D6416" w:rsidRPr="000D7CB9">
        <w:t xml:space="preserve"> </w:t>
      </w:r>
    </w:p>
    <w:p w14:paraId="4C3F918C" w14:textId="17870414" w:rsidR="008E179D" w:rsidRPr="00436E27" w:rsidRDefault="00AD34F3" w:rsidP="00436E2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sz w:val="24"/>
          <w:szCs w:val="24"/>
        </w:rPr>
        <w:t>The Organisational Support consists of two types of eligible costs:</w:t>
      </w:r>
    </w:p>
    <w:p w14:paraId="025E65E4" w14:textId="45FD2BA7" w:rsidR="00AD34F3" w:rsidRPr="00436E27" w:rsidRDefault="00AD34F3" w:rsidP="00436E27">
      <w:pPr>
        <w:pStyle w:val="Sraopastraipa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b/>
          <w:sz w:val="24"/>
          <w:szCs w:val="24"/>
        </w:rPr>
        <w:t>Project management costs</w:t>
      </w:r>
      <w:r w:rsidRPr="00436E27">
        <w:rPr>
          <w:rFonts w:ascii="Times New Roman" w:hAnsi="Times New Roman" w:cs="Times New Roman"/>
          <w:sz w:val="24"/>
          <w:szCs w:val="24"/>
        </w:rPr>
        <w:t>: this amount</w:t>
      </w:r>
      <w:r w:rsidR="00427103" w:rsidRPr="00436E27">
        <w:rPr>
          <w:rFonts w:ascii="Times New Roman" w:hAnsi="Times New Roman" w:cs="Times New Roman"/>
          <w:sz w:val="24"/>
          <w:szCs w:val="24"/>
        </w:rPr>
        <w:t>s</w:t>
      </w:r>
      <w:r w:rsidRPr="00436E27">
        <w:rPr>
          <w:rFonts w:ascii="Times New Roman" w:hAnsi="Times New Roman" w:cs="Times New Roman"/>
          <w:sz w:val="24"/>
          <w:szCs w:val="24"/>
        </w:rPr>
        <w:t xml:space="preserve"> to EUR</w:t>
      </w:r>
      <w:r w:rsidRPr="00436E27">
        <w:rPr>
          <w:sz w:val="24"/>
          <w:szCs w:val="24"/>
        </w:rPr>
        <w:t> </w:t>
      </w:r>
      <w:r w:rsidRPr="00436E27">
        <w:rPr>
          <w:rFonts w:ascii="Times New Roman" w:hAnsi="Times New Roman" w:cs="Times New Roman"/>
          <w:sz w:val="24"/>
          <w:szCs w:val="24"/>
        </w:rPr>
        <w:t xml:space="preserve">225 per participant, up to a maximum of EUR 4 500. For </w:t>
      </w:r>
      <w:r w:rsidR="0089205D" w:rsidRPr="00436E27">
        <w:rPr>
          <w:rFonts w:ascii="Times New Roman" w:hAnsi="Times New Roman" w:cs="Times New Roman"/>
          <w:sz w:val="24"/>
          <w:szCs w:val="24"/>
        </w:rPr>
        <w:t>V</w:t>
      </w:r>
      <w:r w:rsidRPr="00436E27">
        <w:rPr>
          <w:rFonts w:ascii="Times New Roman" w:hAnsi="Times New Roman" w:cs="Times New Roman"/>
          <w:sz w:val="24"/>
          <w:szCs w:val="24"/>
        </w:rPr>
        <w:t xml:space="preserve">olunteering </w:t>
      </w:r>
      <w:r w:rsidR="0089205D" w:rsidRPr="00436E27">
        <w:rPr>
          <w:rFonts w:ascii="Times New Roman" w:hAnsi="Times New Roman" w:cs="Times New Roman"/>
          <w:sz w:val="24"/>
          <w:szCs w:val="24"/>
        </w:rPr>
        <w:t>T</w:t>
      </w:r>
      <w:r w:rsidRPr="00436E27">
        <w:rPr>
          <w:rFonts w:ascii="Times New Roman" w:hAnsi="Times New Roman" w:cs="Times New Roman"/>
          <w:sz w:val="24"/>
          <w:szCs w:val="24"/>
        </w:rPr>
        <w:t>eam activities, this amount is fixed at EUR 2 000 per activity.</w:t>
      </w:r>
    </w:p>
    <w:p w14:paraId="6E0BDCA8" w14:textId="40134977" w:rsidR="00AD34F3" w:rsidRPr="00436E27" w:rsidRDefault="00AD34F3" w:rsidP="00436E27">
      <w:pPr>
        <w:pStyle w:val="Sraopastraipa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b/>
          <w:sz w:val="24"/>
          <w:szCs w:val="24"/>
        </w:rPr>
        <w:t>Activity costs</w:t>
      </w:r>
      <w:r w:rsidRPr="00436E27">
        <w:rPr>
          <w:rFonts w:ascii="Times New Roman" w:hAnsi="Times New Roman" w:cs="Times New Roman"/>
          <w:sz w:val="24"/>
          <w:szCs w:val="24"/>
        </w:rPr>
        <w:t>: these include the activity itself. They are set as daily rates per participant, which are detailed in the following table:</w:t>
      </w:r>
    </w:p>
    <w:p w14:paraId="477AC005" w14:textId="77777777" w:rsidR="00016B01" w:rsidRPr="00436E27" w:rsidRDefault="00016B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6E27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6BE5AC94" w14:textId="512EECC6" w:rsidR="00AD34F3" w:rsidRDefault="00AD34F3" w:rsidP="00436E27">
      <w:pPr>
        <w:spacing w:after="120" w:line="240" w:lineRule="auto"/>
        <w:jc w:val="center"/>
        <w:rPr>
          <w:rFonts w:ascii="Times New Roman" w:hAnsi="Times New Roman" w:cs="Times New Roman"/>
          <w:u w:val="single"/>
        </w:rPr>
      </w:pPr>
      <w:r w:rsidRPr="00AD34F3">
        <w:rPr>
          <w:rFonts w:ascii="Times New Roman" w:hAnsi="Times New Roman" w:cs="Times New Roman"/>
          <w:u w:val="single"/>
        </w:rPr>
        <w:lastRenderedPageBreak/>
        <w:t>Table 2</w:t>
      </w:r>
      <w:r>
        <w:rPr>
          <w:rFonts w:ascii="Times New Roman" w:hAnsi="Times New Roman" w:cs="Times New Roman"/>
          <w:u w:val="single"/>
        </w:rPr>
        <w:t xml:space="preserve"> –</w:t>
      </w:r>
      <w:r w:rsidRPr="00AD34F3">
        <w:rPr>
          <w:rFonts w:ascii="Times New Roman" w:hAnsi="Times New Roman" w:cs="Times New Roman"/>
          <w:u w:val="single"/>
        </w:rPr>
        <w:t xml:space="preserve"> Organisational Support – Activity Costs</w:t>
      </w:r>
    </w:p>
    <w:p w14:paraId="103E54CE" w14:textId="77777777" w:rsidR="00A55CB7" w:rsidRPr="00AD34F3" w:rsidRDefault="00A55CB7" w:rsidP="00AD34F3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W w:w="7655" w:type="dxa"/>
        <w:jc w:val="center"/>
        <w:tblLook w:val="04A0" w:firstRow="1" w:lastRow="0" w:firstColumn="1" w:lastColumn="0" w:noHBand="0" w:noVBand="1"/>
      </w:tblPr>
      <w:tblGrid>
        <w:gridCol w:w="3600"/>
        <w:gridCol w:w="2071"/>
        <w:gridCol w:w="1984"/>
      </w:tblGrid>
      <w:tr w:rsidR="00AD34F3" w:rsidRPr="00AD34F3" w14:paraId="38D95345" w14:textId="77777777" w:rsidTr="00AD34F3">
        <w:trPr>
          <w:trHeight w:val="300"/>
          <w:tblHeader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25B8" w14:textId="7D557959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723F0C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Organisational Support – Activity Costs</w:t>
            </w:r>
          </w:p>
        </w:tc>
      </w:tr>
      <w:tr w:rsidR="00AD34F3" w:rsidRPr="00AD34F3" w14:paraId="50AAA48E" w14:textId="77777777" w:rsidTr="00AD34F3">
        <w:trPr>
          <w:trHeight w:val="300"/>
          <w:tblHeader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5C487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3550B98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(EUR per day)</w:t>
            </w:r>
          </w:p>
        </w:tc>
      </w:tr>
      <w:tr w:rsidR="00AD34F3" w:rsidRPr="00AD34F3" w14:paraId="1CCDE010" w14:textId="77777777" w:rsidTr="00AD34F3">
        <w:trPr>
          <w:trHeight w:val="315"/>
          <w:tblHeader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77A95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2A91D18" w14:textId="531D3AF9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D34F3" w:rsidRPr="00AD34F3" w14:paraId="25807706" w14:textId="77777777" w:rsidTr="00016B01">
        <w:trPr>
          <w:trHeight w:val="495"/>
          <w:tblHeader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7E16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06D547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Volunteering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30E2F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Traineeships and Jobs</w:t>
            </w:r>
          </w:p>
        </w:tc>
      </w:tr>
      <w:tr w:rsidR="00AD34F3" w:rsidRPr="00AD34F3" w14:paraId="3060318E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62F1BA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5087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0A5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AD34F3" w:rsidRPr="00AD34F3" w14:paraId="1D734D18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59EF0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C3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88B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4FAE4C8B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615F6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7393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90D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67B3B3AB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BB5DAA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358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203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2EADCDD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0085FA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C66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22C6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54473057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BF592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D3A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A1F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65F52DA3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1653B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8D9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E2F2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78C3E772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E4AA3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F92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CEF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4AAFE7F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93065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F55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FE7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49EC12A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63A1E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438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C653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6E924CD7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0955D5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0BC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BE9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AD34F3" w:rsidRPr="00AD34F3" w14:paraId="7DC66CA2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9AD7E7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A63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4C9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0259D227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42880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394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F58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43680CEE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DFC5A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A82A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18B7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2F51FA99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C4E83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6DE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5AB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784BF0A5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0795A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DC5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1023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470BE293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5BD35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868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D60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3AB334F9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FFE9E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4912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09D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7052E241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04081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B60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8DA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AD34F3" w:rsidRPr="00AD34F3" w14:paraId="3E99BD06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BEBB1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502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E0D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513DAB00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F5610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2454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708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0B6D0F0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D60A4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E3A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093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480F32FF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E6FC33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1D4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E94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1D7875AA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243C94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A85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1D9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59AB8956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46B0A2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0154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E27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5717713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C07D5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1974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214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3483C5F9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5FF49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5757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29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06E71C8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4EBE5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FEFA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AD1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26F93F2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3F099D" w14:textId="06386837" w:rsidR="00AD34F3" w:rsidRPr="00AD34F3" w:rsidRDefault="00465DC5" w:rsidP="0046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North Macedonia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B54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797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AD34F3" w:rsidRPr="00AD34F3" w14:paraId="4F22F55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F94C82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E2A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03A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AD34F3" w:rsidRPr="00AD34F3" w14:paraId="7F86F3F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2BD1B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4183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101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AD34F3" w:rsidRPr="00AD34F3" w14:paraId="6F700BE0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4B076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DF6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E05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AD34F3" w:rsidRPr="00AD34F3" w14:paraId="667E16B8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848424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24F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8B1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AD34F3" w:rsidRPr="00AD34F3" w14:paraId="32585478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3A8C7B" w14:textId="2C804FF4" w:rsidR="00AD34F3" w:rsidRPr="00AD34F3" w:rsidRDefault="00465DC5" w:rsidP="0046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Partner country n</w:t>
            </w:r>
            <w:r w:rsidR="00AD34F3"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eighbouring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the EU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F2E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0FF6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</w:tbl>
    <w:p w14:paraId="72D654BC" w14:textId="77777777" w:rsidR="00016B01" w:rsidRDefault="00016B0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4C3F91FF" w14:textId="00151D75" w:rsidR="008E179D" w:rsidRPr="000D7CB9" w:rsidRDefault="00016B01">
      <w:pPr>
        <w:pStyle w:val="Antrat2"/>
      </w:pPr>
      <w:r>
        <w:lastRenderedPageBreak/>
        <w:t>Inclusion</w:t>
      </w:r>
      <w:r w:rsidR="008E179D" w:rsidRPr="000D7CB9">
        <w:t xml:space="preserve"> support</w:t>
      </w:r>
    </w:p>
    <w:p w14:paraId="251AD1E7" w14:textId="7F2D61F6" w:rsidR="00016B01" w:rsidRDefault="00F34B61" w:rsidP="00436E2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rates are to be used for </w:t>
      </w:r>
      <w:proofErr w:type="gramStart"/>
      <w:r>
        <w:rPr>
          <w:rFonts w:ascii="Times New Roman" w:hAnsi="Times New Roman" w:cs="Times New Roman"/>
          <w:sz w:val="24"/>
          <w:szCs w:val="24"/>
        </w:rPr>
        <w:t>activities 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include the participation of young people with fewer opportunities.</w:t>
      </w:r>
    </w:p>
    <w:p w14:paraId="0B141062" w14:textId="77777777" w:rsidR="00A55CB7" w:rsidRDefault="00A55CB7" w:rsidP="00436E27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6F6EE02" w14:textId="0E60E872" w:rsidR="00F34B61" w:rsidRPr="00F34B61" w:rsidRDefault="00F34B61" w:rsidP="00436E27">
      <w:pPr>
        <w:jc w:val="center"/>
        <w:rPr>
          <w:rFonts w:ascii="Times New Roman" w:hAnsi="Times New Roman" w:cs="Times New Roman"/>
          <w:u w:val="single"/>
        </w:rPr>
      </w:pPr>
      <w:r w:rsidRPr="00AD34F3">
        <w:rPr>
          <w:rFonts w:ascii="Times New Roman" w:hAnsi="Times New Roman" w:cs="Times New Roman"/>
          <w:u w:val="single"/>
        </w:rPr>
        <w:t xml:space="preserve">Table </w:t>
      </w:r>
      <w:r>
        <w:rPr>
          <w:rFonts w:ascii="Times New Roman" w:hAnsi="Times New Roman" w:cs="Times New Roman"/>
          <w:u w:val="single"/>
        </w:rPr>
        <w:t>4 –</w:t>
      </w:r>
      <w:r w:rsidRPr="00AD34F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Inclusion</w:t>
      </w:r>
      <w:r w:rsidRPr="00AD34F3">
        <w:rPr>
          <w:rFonts w:ascii="Times New Roman" w:hAnsi="Times New Roman" w:cs="Times New Roman"/>
          <w:u w:val="single"/>
        </w:rPr>
        <w:t xml:space="preserve"> Support </w:t>
      </w:r>
    </w:p>
    <w:tbl>
      <w:tblPr>
        <w:tblW w:w="8704" w:type="dxa"/>
        <w:jc w:val="center"/>
        <w:tblLook w:val="04A0" w:firstRow="1" w:lastRow="0" w:firstColumn="1" w:lastColumn="0" w:noHBand="0" w:noVBand="1"/>
      </w:tblPr>
      <w:tblGrid>
        <w:gridCol w:w="4019"/>
        <w:gridCol w:w="2432"/>
        <w:gridCol w:w="2253"/>
      </w:tblGrid>
      <w:tr w:rsidR="00F34B61" w:rsidRPr="00F34B61" w14:paraId="2669B3D9" w14:textId="77777777" w:rsidTr="00436E27">
        <w:trPr>
          <w:trHeight w:val="312"/>
          <w:jc w:val="center"/>
        </w:trPr>
        <w:tc>
          <w:tcPr>
            <w:tcW w:w="40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1A5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34B61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1AFF57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Inclusion Support </w:t>
            </w:r>
          </w:p>
        </w:tc>
      </w:tr>
      <w:tr w:rsidR="00F34B61" w:rsidRPr="00F34B61" w14:paraId="011EEAF2" w14:textId="77777777" w:rsidTr="00436E27">
        <w:trPr>
          <w:trHeight w:val="312"/>
          <w:jc w:val="center"/>
        </w:trPr>
        <w:tc>
          <w:tcPr>
            <w:tcW w:w="4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2553D7" w14:textId="77777777" w:rsidR="00F34B61" w:rsidRPr="00F34B61" w:rsidRDefault="00F34B61" w:rsidP="00F34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30E27E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(EUR per day)</w:t>
            </w:r>
          </w:p>
        </w:tc>
      </w:tr>
      <w:tr w:rsidR="00F34B61" w:rsidRPr="00F34B61" w14:paraId="1CC1A6E7" w14:textId="77777777" w:rsidTr="00436E27">
        <w:trPr>
          <w:trHeight w:val="328"/>
          <w:jc w:val="center"/>
        </w:trPr>
        <w:tc>
          <w:tcPr>
            <w:tcW w:w="4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2807C7" w14:textId="77777777" w:rsidR="00F34B61" w:rsidRPr="00F34B61" w:rsidRDefault="00F34B61" w:rsidP="00F34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CBF2A2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4B61" w:rsidRPr="00F34B61" w14:paraId="3E5253BE" w14:textId="77777777" w:rsidTr="00436E27">
        <w:trPr>
          <w:cantSplit/>
          <w:trHeight w:val="516"/>
          <w:jc w:val="center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9DA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A82A6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Volunteering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6F8BC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Traineeships and Jobs</w:t>
            </w:r>
          </w:p>
        </w:tc>
      </w:tr>
      <w:tr w:rsidR="00F34B61" w:rsidRPr="00F34B61" w14:paraId="6012713D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6382E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2B54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F34B61" w:rsidRPr="00F34B61" w14:paraId="1ECA027D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8F0D53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EECA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123F3E1C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CE28E3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35E2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2BCEED0D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3E601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9E4E5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64834617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68C69E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86C6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1DF44AF6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24D3A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935D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4D2C5360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EC739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B58D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58ADEDED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875BE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E429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73C47B26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8D9117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3D9B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2537676A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3B5650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947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4D13302C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87057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A0D7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F34B61" w:rsidRPr="00F34B61" w14:paraId="03509CC4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2BECA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FA9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397545FC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9AC9FE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3F75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4FBFE936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0AABE9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201E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3B6B7ABF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62A4D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ABF59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3457595C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50BAD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BBE1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2A577531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0BE754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6513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6704EE40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379F15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D10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529EE074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34F3C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7F92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F34B61" w:rsidRPr="00F34B61" w14:paraId="232EF47D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15A95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D66D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0A9E35BA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66239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0634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7B186D71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7FCF3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EAA4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56A1BA53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2B7299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83CC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67034C28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75D5E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C9B6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654FFBBB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8D9724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BF62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66B1B98A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79178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8E47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43989E5D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27DD3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D7685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65EF254B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002BA7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785A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7E5DE6AE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768EFB" w14:textId="2F080C6C" w:rsidR="00F34B61" w:rsidRPr="00F34B61" w:rsidRDefault="00465DC5" w:rsidP="0046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North Macedonia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F9C4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B21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F34B61" w:rsidRPr="00F34B61" w14:paraId="3A938FE6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67A89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24D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208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F34B61" w:rsidRPr="00F34B61" w14:paraId="649BFCC7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0439C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7AB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14B3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F34B61" w:rsidRPr="00F34B61" w14:paraId="00CBAA18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3D51E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158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03F4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F34B61" w:rsidRPr="00F34B61" w14:paraId="29FF0777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0491757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1610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1E4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F34B61" w:rsidRPr="00F34B61" w14:paraId="1373242B" w14:textId="77777777" w:rsidTr="00436E2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CE24B7" w14:textId="62D16752" w:rsidR="00F34B61" w:rsidRPr="00F34B61" w:rsidRDefault="00465DC5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Partner country n</w:t>
            </w: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eighbouring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the EU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5B1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8C2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</w:tbl>
    <w:p w14:paraId="4C3F93CE" w14:textId="1F7DA55D" w:rsidR="00DE37ED" w:rsidRPr="000D7CB9" w:rsidRDefault="008E179D">
      <w:pPr>
        <w:pStyle w:val="Antrat2"/>
      </w:pPr>
      <w:r w:rsidRPr="00F34B61">
        <w:lastRenderedPageBreak/>
        <w:t>Linguistic support</w:t>
      </w:r>
      <w:r w:rsidR="009D6416" w:rsidRPr="00F34B61">
        <w:t>:</w:t>
      </w:r>
      <w:r w:rsidR="009D6416" w:rsidRPr="000D7CB9">
        <w:t xml:space="preserve"> </w:t>
      </w:r>
    </w:p>
    <w:p w14:paraId="1B16014E" w14:textId="167597B3" w:rsidR="00A55CB7" w:rsidRPr="0089205D" w:rsidRDefault="00F34B61" w:rsidP="00436E27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rate is applicable only for </w:t>
      </w:r>
      <w:r w:rsidR="0089205D">
        <w:rPr>
          <w:rFonts w:ascii="Times New Roman" w:hAnsi="Times New Roman" w:cs="Times New Roman"/>
          <w:sz w:val="24"/>
          <w:szCs w:val="24"/>
        </w:rPr>
        <w:t>languages</w:t>
      </w:r>
      <w:r>
        <w:rPr>
          <w:rFonts w:ascii="Times New Roman" w:hAnsi="Times New Roman" w:cs="Times New Roman"/>
          <w:sz w:val="24"/>
          <w:szCs w:val="24"/>
        </w:rPr>
        <w:t xml:space="preserve"> and/or levels not offered by the Online Linguistic Support. </w:t>
      </w:r>
      <w:r w:rsidR="00A55CB7">
        <w:rPr>
          <w:rFonts w:ascii="Times New Roman" w:hAnsi="Times New Roman"/>
          <w:sz w:val="24"/>
          <w:szCs w:val="24"/>
        </w:rPr>
        <w:t xml:space="preserve">: </w:t>
      </w:r>
      <w:r w:rsidR="009D6416" w:rsidRPr="00D878F1">
        <w:rPr>
          <w:rFonts w:ascii="Times New Roman" w:hAnsi="Times New Roman"/>
          <w:sz w:val="24"/>
          <w:szCs w:val="24"/>
        </w:rPr>
        <w:t xml:space="preserve">EUR </w:t>
      </w:r>
      <w:r w:rsidR="00F24269">
        <w:rPr>
          <w:rFonts w:ascii="Times New Roman" w:hAnsi="Times New Roman"/>
          <w:sz w:val="24"/>
          <w:szCs w:val="24"/>
        </w:rPr>
        <w:t xml:space="preserve">150 </w:t>
      </w:r>
      <w:r w:rsidR="009D6416" w:rsidRPr="00D878F1">
        <w:rPr>
          <w:rFonts w:ascii="Times New Roman" w:hAnsi="Times New Roman"/>
          <w:sz w:val="24"/>
          <w:szCs w:val="24"/>
        </w:rPr>
        <w:t>per participant</w:t>
      </w:r>
    </w:p>
    <w:p w14:paraId="7E1E4FC6" w14:textId="738D4568" w:rsidR="00F34B61" w:rsidRDefault="0089205D">
      <w:pPr>
        <w:pStyle w:val="Antrat2"/>
      </w:pPr>
      <w:r>
        <w:t>Pocket Money</w:t>
      </w:r>
    </w:p>
    <w:p w14:paraId="2725227F" w14:textId="536A60FC" w:rsidR="00F34B61" w:rsidRPr="00436E27" w:rsidRDefault="0089205D" w:rsidP="00436E2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sz w:val="24"/>
          <w:szCs w:val="24"/>
        </w:rPr>
        <w:t>This rate is only applicable to Volunteering activities.</w:t>
      </w:r>
    </w:p>
    <w:p w14:paraId="40B54A73" w14:textId="363CBEA4" w:rsidR="0089205D" w:rsidRPr="00A55CB7" w:rsidRDefault="0089205D" w:rsidP="00436E27">
      <w:pPr>
        <w:spacing w:after="120" w:line="240" w:lineRule="auto"/>
        <w:ind w:left="360"/>
        <w:jc w:val="center"/>
        <w:rPr>
          <w:rFonts w:ascii="Times New Roman" w:hAnsi="Times New Roman" w:cs="Times New Roman"/>
          <w:u w:val="single"/>
        </w:rPr>
      </w:pPr>
      <w:r w:rsidRPr="00A55CB7">
        <w:rPr>
          <w:rFonts w:ascii="Times New Roman" w:hAnsi="Times New Roman" w:cs="Times New Roman"/>
          <w:u w:val="single"/>
        </w:rPr>
        <w:t xml:space="preserve">Table </w:t>
      </w:r>
      <w:proofErr w:type="gramStart"/>
      <w:r w:rsidRPr="00A55CB7">
        <w:rPr>
          <w:rFonts w:ascii="Times New Roman" w:hAnsi="Times New Roman" w:cs="Times New Roman"/>
          <w:u w:val="single"/>
        </w:rPr>
        <w:t>5</w:t>
      </w:r>
      <w:proofErr w:type="gramEnd"/>
      <w:r w:rsidRPr="00A55CB7">
        <w:rPr>
          <w:rFonts w:ascii="Times New Roman" w:hAnsi="Times New Roman" w:cs="Times New Roman"/>
          <w:u w:val="single"/>
        </w:rPr>
        <w:t xml:space="preserve"> – Pocket Money for volunteers</w:t>
      </w:r>
    </w:p>
    <w:tbl>
      <w:tblPr>
        <w:tblW w:w="5320" w:type="dxa"/>
        <w:jc w:val="center"/>
        <w:tblLook w:val="04A0" w:firstRow="1" w:lastRow="0" w:firstColumn="1" w:lastColumn="0" w:noHBand="0" w:noVBand="1"/>
      </w:tblPr>
      <w:tblGrid>
        <w:gridCol w:w="3600"/>
        <w:gridCol w:w="1720"/>
      </w:tblGrid>
      <w:tr w:rsidR="0089205D" w:rsidRPr="0089205D" w14:paraId="6B169689" w14:textId="77777777" w:rsidTr="0089205D">
        <w:trPr>
          <w:trHeight w:val="300"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E32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205D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E61DE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Pocket Money</w:t>
            </w:r>
          </w:p>
        </w:tc>
      </w:tr>
      <w:tr w:rsidR="0089205D" w:rsidRPr="0089205D" w14:paraId="1701F498" w14:textId="77777777" w:rsidTr="0089205D">
        <w:trPr>
          <w:trHeight w:val="300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9A01A0" w14:textId="77777777" w:rsidR="0089205D" w:rsidRPr="0089205D" w:rsidRDefault="0089205D" w:rsidP="0089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3D3AB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(EUR per day)</w:t>
            </w:r>
          </w:p>
        </w:tc>
      </w:tr>
      <w:tr w:rsidR="0089205D" w:rsidRPr="0089205D" w14:paraId="1C0A0752" w14:textId="77777777" w:rsidTr="0089205D">
        <w:trPr>
          <w:trHeight w:val="315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111F98" w14:textId="77777777" w:rsidR="0089205D" w:rsidRPr="0089205D" w:rsidRDefault="0089205D" w:rsidP="0089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F5E2C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9205D" w:rsidRPr="0089205D" w14:paraId="20873AAC" w14:textId="77777777" w:rsidTr="0089205D">
        <w:trPr>
          <w:trHeight w:val="495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A78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72147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Volunteering</w:t>
            </w:r>
          </w:p>
        </w:tc>
      </w:tr>
      <w:tr w:rsidR="0089205D" w:rsidRPr="0089205D" w14:paraId="29F207F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E2A97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BB1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387728E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27974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03E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521C067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68502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B64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3FEA96E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316F1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312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2BB9375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AC382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B29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3D080C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8C2C0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610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9CDA48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E990E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181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04072D8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2D08F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8BD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0A72634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69F13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1FF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5B7EC2EA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569F9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0C3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156CDFF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08624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EEE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0B19CB1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D914F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584F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B83C3E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90AC2F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72D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4CF3051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00023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A49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4B5FF64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167EC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2A3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3BA341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7790E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C87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6476B04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6CBB9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091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0D43A0E0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54C11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BB5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71D867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7F6CC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832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FE01EE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BBB95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87C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D8527F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0E91E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533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1408D7CE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5B176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C12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22F0338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4BC85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590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89205D" w:rsidRPr="0089205D" w14:paraId="3546814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09B375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B13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35AE50D4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DAECD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EE3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00D10BB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5FAC3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3DC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A84DFD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BBA6A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247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357968D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8C298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D60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40C2F05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B6DC17" w14:textId="38495883" w:rsidR="0089205D" w:rsidRPr="0089205D" w:rsidRDefault="00465DC5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North Macedonia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20B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89205D" w:rsidRPr="0089205D" w14:paraId="7FBCFB0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8A1E5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551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30CF7E3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F6E5B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F49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2BFD579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2A5F7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733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03D0AC9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169F7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518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0E5363E4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78DCF6" w14:textId="70D5730D" w:rsidR="0089205D" w:rsidRPr="0089205D" w:rsidRDefault="00465DC5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Partner country n</w:t>
            </w: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eighbouring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the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1C29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</w:tbl>
    <w:p w14:paraId="416E79D0" w14:textId="1361AF43" w:rsidR="0089205D" w:rsidRDefault="0089205D">
      <w:pPr>
        <w:pStyle w:val="Antrat2"/>
      </w:pPr>
      <w:r>
        <w:lastRenderedPageBreak/>
        <w:t>Relocation Allowance</w:t>
      </w:r>
    </w:p>
    <w:p w14:paraId="4643E652" w14:textId="64DAA8BE" w:rsidR="0089205D" w:rsidRDefault="0089205D" w:rsidP="00436E27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sz w:val="24"/>
          <w:szCs w:val="24"/>
        </w:rPr>
        <w:t>This rate is only applicable to Traineeships and Jobs activities.</w:t>
      </w:r>
    </w:p>
    <w:p w14:paraId="60A53AB2" w14:textId="07B5BB9C" w:rsidR="00802558" w:rsidRPr="00436E27" w:rsidRDefault="00802558" w:rsidP="00802558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/>
          <w:sz w:val="24"/>
          <w:szCs w:val="24"/>
        </w:rPr>
        <w:t xml:space="preserve">Nota bene: the relocation allowance </w:t>
      </w:r>
      <w:proofErr w:type="gramStart"/>
      <w:r w:rsidRPr="00436E27">
        <w:rPr>
          <w:rFonts w:ascii="Times New Roman" w:hAnsi="Times New Roman"/>
          <w:sz w:val="24"/>
          <w:szCs w:val="24"/>
        </w:rPr>
        <w:t>may only be provided</w:t>
      </w:r>
      <w:proofErr w:type="gramEnd"/>
      <w:r w:rsidRPr="00436E27">
        <w:rPr>
          <w:rFonts w:ascii="Times New Roman" w:hAnsi="Times New Roman"/>
          <w:sz w:val="24"/>
          <w:szCs w:val="24"/>
        </w:rPr>
        <w:t xml:space="preserve"> for a maximum of 180 days.</w:t>
      </w:r>
    </w:p>
    <w:p w14:paraId="33887217" w14:textId="77777777" w:rsidR="00802558" w:rsidRPr="00436E27" w:rsidRDefault="00802558" w:rsidP="00436E2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5E7C423" w14:textId="72E5CF22" w:rsidR="0089205D" w:rsidRPr="00F34B61" w:rsidRDefault="0089205D" w:rsidP="00436E27">
      <w:pPr>
        <w:spacing w:after="120" w:line="240" w:lineRule="auto"/>
        <w:jc w:val="center"/>
        <w:rPr>
          <w:rFonts w:ascii="Times New Roman" w:hAnsi="Times New Roman" w:cs="Times New Roman"/>
          <w:u w:val="single"/>
        </w:rPr>
      </w:pPr>
      <w:r w:rsidRPr="00AD34F3">
        <w:rPr>
          <w:rFonts w:ascii="Times New Roman" w:hAnsi="Times New Roman" w:cs="Times New Roman"/>
          <w:u w:val="single"/>
        </w:rPr>
        <w:t xml:space="preserve">Table </w:t>
      </w:r>
      <w:r>
        <w:rPr>
          <w:rFonts w:ascii="Times New Roman" w:hAnsi="Times New Roman" w:cs="Times New Roman"/>
          <w:u w:val="single"/>
        </w:rPr>
        <w:t>6 –</w:t>
      </w:r>
      <w:r w:rsidRPr="00AD34F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Relocation allowance for trainees and job holders</w:t>
      </w:r>
      <w:r w:rsidRPr="00AD34F3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5580" w:type="dxa"/>
        <w:jc w:val="center"/>
        <w:tblLook w:val="04A0" w:firstRow="1" w:lastRow="0" w:firstColumn="1" w:lastColumn="0" w:noHBand="0" w:noVBand="1"/>
      </w:tblPr>
      <w:tblGrid>
        <w:gridCol w:w="3320"/>
        <w:gridCol w:w="2260"/>
      </w:tblGrid>
      <w:tr w:rsidR="0089205D" w:rsidRPr="0089205D" w14:paraId="6682BF8F" w14:textId="77777777" w:rsidTr="0089205D">
        <w:trPr>
          <w:trHeight w:val="300"/>
          <w:jc w:val="center"/>
        </w:trPr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2E5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205D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AEBC8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Relocation allowance</w:t>
            </w:r>
          </w:p>
        </w:tc>
      </w:tr>
      <w:tr w:rsidR="0089205D" w:rsidRPr="0089205D" w14:paraId="2FE62B76" w14:textId="77777777" w:rsidTr="0089205D">
        <w:trPr>
          <w:trHeight w:val="300"/>
          <w:jc w:val="center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FBC636" w14:textId="77777777" w:rsidR="0089205D" w:rsidRPr="0089205D" w:rsidRDefault="0089205D" w:rsidP="0089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EFE9B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(EUR per day)</w:t>
            </w:r>
          </w:p>
        </w:tc>
      </w:tr>
      <w:tr w:rsidR="0089205D" w:rsidRPr="0089205D" w14:paraId="394511C5" w14:textId="77777777" w:rsidTr="0089205D">
        <w:trPr>
          <w:trHeight w:val="315"/>
          <w:jc w:val="center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1E0BC2" w14:textId="77777777" w:rsidR="0089205D" w:rsidRPr="0089205D" w:rsidRDefault="0089205D" w:rsidP="0089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B5ECA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9205D" w:rsidRPr="0089205D" w14:paraId="4F762778" w14:textId="77777777" w:rsidTr="0089205D">
        <w:trPr>
          <w:cantSplit/>
          <w:trHeight w:val="495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8E8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7B2BFD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Traineeships and Jobs</w:t>
            </w:r>
          </w:p>
        </w:tc>
      </w:tr>
      <w:tr w:rsidR="0089205D" w:rsidRPr="0089205D" w14:paraId="5814A2AB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D4FF5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55F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3C3F09A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B159B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2C1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47B24B7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F22F2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85BB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4C4466C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06475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802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39ABD964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28137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E1D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21B0675E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BF9FB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961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D9D0321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7A3C6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A25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44B5C54A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8DD7E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039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0656E4D3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5E8C3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5D5C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4C8802C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95289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6D6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460FFD5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EA18F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79E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D170E0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76C07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17C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0DA5C1EC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81E92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4E8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40FD68C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0D356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92E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2B8C7C04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A9661F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863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1610946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7E7A5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17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4B71E7E5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AD9F1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0FD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31EC3B68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DA18A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9E0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4927B05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AFC0B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5F0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35598A8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A4CBC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5B4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BF8C515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24782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FD2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55BD3F9C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ADBEA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CDA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764A9D6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3E34B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142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89205D" w:rsidRPr="0089205D" w14:paraId="2A688048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D4460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E80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60B2123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0E09E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6C5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263198A4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03210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867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1AD2E26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7B9866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C11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E14398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D05ABF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1D7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</w:tbl>
    <w:p w14:paraId="2280F278" w14:textId="77777777" w:rsidR="00A55CB7" w:rsidRDefault="00A55CB7" w:rsidP="00AD34F3">
      <w:pPr>
        <w:spacing w:after="120" w:line="240" w:lineRule="auto"/>
        <w:jc w:val="both"/>
        <w:rPr>
          <w:rFonts w:ascii="Times New Roman" w:hAnsi="Times New Roman"/>
        </w:rPr>
      </w:pPr>
    </w:p>
    <w:p w14:paraId="59943896" w14:textId="0703FCE1" w:rsidR="00F24269" w:rsidRDefault="00F24269">
      <w:pPr>
        <w:pStyle w:val="Antrat2"/>
      </w:pPr>
      <w:r>
        <w:t>Other eligible costs</w:t>
      </w:r>
    </w:p>
    <w:p w14:paraId="08920BA1" w14:textId="4B957BAA" w:rsidR="00F24269" w:rsidRPr="00436E27" w:rsidRDefault="00F24269" w:rsidP="00436E2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sz w:val="24"/>
          <w:szCs w:val="24"/>
        </w:rPr>
        <w:t xml:space="preserve">Some other costs incurred by organisations under the European Solidarity Corps may be eligible. However, since they </w:t>
      </w:r>
      <w:proofErr w:type="gramStart"/>
      <w:r w:rsidRPr="00436E27">
        <w:rPr>
          <w:rFonts w:ascii="Times New Roman" w:hAnsi="Times New Roman" w:cs="Times New Roman"/>
          <w:sz w:val="24"/>
          <w:szCs w:val="24"/>
        </w:rPr>
        <w:t>are not based</w:t>
      </w:r>
      <w:proofErr w:type="gramEnd"/>
      <w:r w:rsidRPr="00436E27">
        <w:rPr>
          <w:rFonts w:ascii="Times New Roman" w:hAnsi="Times New Roman" w:cs="Times New Roman"/>
          <w:sz w:val="24"/>
          <w:szCs w:val="24"/>
        </w:rPr>
        <w:t xml:space="preserve"> on </w:t>
      </w:r>
      <w:r w:rsidR="00427103" w:rsidRPr="00436E27">
        <w:rPr>
          <w:rFonts w:ascii="Times New Roman" w:hAnsi="Times New Roman" w:cs="Times New Roman"/>
          <w:sz w:val="24"/>
          <w:szCs w:val="24"/>
        </w:rPr>
        <w:t>unit costs</w:t>
      </w:r>
      <w:r w:rsidRPr="00436E27">
        <w:rPr>
          <w:rFonts w:ascii="Times New Roman" w:hAnsi="Times New Roman" w:cs="Times New Roman"/>
          <w:sz w:val="24"/>
          <w:szCs w:val="24"/>
        </w:rPr>
        <w:t>, they are not detailed here. These include:</w:t>
      </w:r>
    </w:p>
    <w:p w14:paraId="3057E349" w14:textId="406D35DF" w:rsidR="00F24269" w:rsidRPr="00436E27" w:rsidRDefault="00F24269" w:rsidP="00436E27">
      <w:pPr>
        <w:pStyle w:val="Sraopastraipa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sz w:val="24"/>
          <w:szCs w:val="24"/>
        </w:rPr>
        <w:t>Exceptional costs</w:t>
      </w:r>
    </w:p>
    <w:p w14:paraId="572AE177" w14:textId="763B8E1C" w:rsidR="00A55CB7" w:rsidRPr="00436E27" w:rsidRDefault="00F24269" w:rsidP="00436E27">
      <w:pPr>
        <w:pStyle w:val="Sraopastraipa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sz w:val="24"/>
          <w:szCs w:val="24"/>
        </w:rPr>
        <w:t xml:space="preserve">Complementary </w:t>
      </w:r>
      <w:r w:rsidR="00A55CB7" w:rsidRPr="00436E27">
        <w:rPr>
          <w:rFonts w:ascii="Times New Roman" w:hAnsi="Times New Roman" w:cs="Times New Roman"/>
          <w:sz w:val="24"/>
          <w:szCs w:val="24"/>
        </w:rPr>
        <w:t>A</w:t>
      </w:r>
      <w:r w:rsidRPr="00436E27">
        <w:rPr>
          <w:rFonts w:ascii="Times New Roman" w:hAnsi="Times New Roman" w:cs="Times New Roman"/>
          <w:sz w:val="24"/>
          <w:szCs w:val="24"/>
        </w:rPr>
        <w:t>ctivity costs</w:t>
      </w:r>
    </w:p>
    <w:p w14:paraId="32369562" w14:textId="65C7B51E" w:rsidR="00F34B61" w:rsidRPr="00436E27" w:rsidRDefault="00F24269" w:rsidP="00436E27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sz w:val="24"/>
          <w:szCs w:val="24"/>
        </w:rPr>
        <w:t xml:space="preserve">For more information, please consult the </w:t>
      </w:r>
      <w:r w:rsidR="005A6881" w:rsidRPr="00436E27">
        <w:rPr>
          <w:rFonts w:ascii="Times New Roman" w:hAnsi="Times New Roman" w:cs="Times New Roman"/>
          <w:sz w:val="24"/>
          <w:szCs w:val="24"/>
        </w:rPr>
        <w:t xml:space="preserve">2019 </w:t>
      </w:r>
      <w:r w:rsidRPr="00436E27">
        <w:rPr>
          <w:rFonts w:ascii="Times New Roman" w:hAnsi="Times New Roman" w:cs="Times New Roman"/>
          <w:sz w:val="24"/>
          <w:szCs w:val="24"/>
        </w:rPr>
        <w:t>European Solidarity Corps Guide.</w:t>
      </w:r>
    </w:p>
    <w:p w14:paraId="0D2738ED" w14:textId="397C1DEF" w:rsidR="00F24269" w:rsidRDefault="00F24269">
      <w:pPr>
        <w:rPr>
          <w:rFonts w:ascii="Times New Roman" w:eastAsiaTheme="majorEastAsia" w:hAnsi="Times New Roman" w:cstheme="majorBidi"/>
          <w:sz w:val="28"/>
          <w:szCs w:val="32"/>
        </w:rPr>
      </w:pPr>
    </w:p>
    <w:p w14:paraId="74551320" w14:textId="252416D6" w:rsidR="00016B01" w:rsidRPr="00436E27" w:rsidRDefault="00A55CB7" w:rsidP="00016B01">
      <w:pPr>
        <w:pStyle w:val="Antrat1"/>
        <w:rPr>
          <w:u w:val="single"/>
        </w:rPr>
      </w:pPr>
      <w:r w:rsidRPr="00A55CB7">
        <w:rPr>
          <w:u w:val="single"/>
        </w:rPr>
        <w:t>SOLIDARITY PROJECTS</w:t>
      </w:r>
    </w:p>
    <w:p w14:paraId="02478FB0" w14:textId="0E2F6913" w:rsidR="00016B01" w:rsidRPr="00A55CB7" w:rsidRDefault="00F24269">
      <w:pPr>
        <w:pStyle w:val="Antrat2"/>
        <w:numPr>
          <w:ilvl w:val="0"/>
          <w:numId w:val="9"/>
        </w:numPr>
      </w:pPr>
      <w:r w:rsidRPr="00A55CB7">
        <w:t>Project Management</w:t>
      </w:r>
    </w:p>
    <w:p w14:paraId="1724A831" w14:textId="42E85191" w:rsidR="00016B01" w:rsidRPr="00436E27" w:rsidRDefault="00F24269" w:rsidP="00436E27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sz w:val="24"/>
          <w:szCs w:val="24"/>
        </w:rPr>
        <w:t xml:space="preserve">This covers costs linked to the management and implementation of the project. </w:t>
      </w:r>
    </w:p>
    <w:p w14:paraId="37AF85C7" w14:textId="22AAB1D8" w:rsidR="00F24269" w:rsidRPr="00436E27" w:rsidRDefault="00F24269" w:rsidP="00436E27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sz w:val="24"/>
          <w:szCs w:val="24"/>
        </w:rPr>
        <w:t>EUR 500 per month</w:t>
      </w:r>
    </w:p>
    <w:p w14:paraId="55F00BFB" w14:textId="60FA0CF0" w:rsidR="00F24269" w:rsidRDefault="00F41BFF">
      <w:pPr>
        <w:pStyle w:val="Antrat2"/>
      </w:pPr>
      <w:r>
        <w:t>Coaching costs</w:t>
      </w:r>
    </w:p>
    <w:p w14:paraId="55E405EF" w14:textId="37787E0D" w:rsidR="00802558" w:rsidRDefault="00F41BFF" w:rsidP="00436E27">
      <w:pPr>
        <w:spacing w:after="120" w:line="240" w:lineRule="auto"/>
        <w:ind w:firstLine="360"/>
        <w:jc w:val="both"/>
        <w:rPr>
          <w:rFonts w:ascii="Times New Roman" w:hAnsi="Times New Roman"/>
        </w:rPr>
      </w:pPr>
      <w:r w:rsidRPr="00436E27">
        <w:rPr>
          <w:rFonts w:ascii="Times New Roman" w:hAnsi="Times New Roman" w:cs="Times New Roman"/>
          <w:sz w:val="24"/>
          <w:szCs w:val="24"/>
        </w:rPr>
        <w:t>This covers the optional involvement of a coach in the project.</w:t>
      </w:r>
      <w:r w:rsidR="00802558" w:rsidRPr="00802558">
        <w:rPr>
          <w:rFonts w:ascii="Times New Roman" w:hAnsi="Times New Roman"/>
        </w:rPr>
        <w:t xml:space="preserve"> </w:t>
      </w:r>
    </w:p>
    <w:p w14:paraId="27C47991" w14:textId="77777777" w:rsidR="00802558" w:rsidRPr="009725D0" w:rsidRDefault="00802558" w:rsidP="00802558">
      <w:pPr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725D0">
        <w:rPr>
          <w:rFonts w:ascii="Times New Roman" w:hAnsi="Times New Roman"/>
          <w:sz w:val="24"/>
          <w:szCs w:val="24"/>
        </w:rPr>
        <w:t xml:space="preserve">Nota bene: the coaching costs </w:t>
      </w:r>
      <w:proofErr w:type="gramStart"/>
      <w:r w:rsidRPr="009725D0">
        <w:rPr>
          <w:rFonts w:ascii="Times New Roman" w:hAnsi="Times New Roman"/>
          <w:sz w:val="24"/>
          <w:szCs w:val="24"/>
        </w:rPr>
        <w:t>may only be covered</w:t>
      </w:r>
      <w:proofErr w:type="gramEnd"/>
      <w:r w:rsidRPr="009725D0">
        <w:rPr>
          <w:rFonts w:ascii="Times New Roman" w:hAnsi="Times New Roman"/>
          <w:sz w:val="24"/>
          <w:szCs w:val="24"/>
        </w:rPr>
        <w:t xml:space="preserve"> for a maximum of 12 days.</w:t>
      </w:r>
    </w:p>
    <w:p w14:paraId="64C94621" w14:textId="6C8B5E3B" w:rsidR="00F24269" w:rsidRPr="00436E27" w:rsidRDefault="00F24269" w:rsidP="00436E27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CEBEA25" w14:textId="77777777" w:rsidR="00802558" w:rsidRDefault="00802558" w:rsidP="00436E27">
      <w:pPr>
        <w:spacing w:after="120" w:line="240" w:lineRule="auto"/>
        <w:jc w:val="center"/>
        <w:rPr>
          <w:rFonts w:ascii="Times New Roman" w:hAnsi="Times New Roman" w:cs="Times New Roman"/>
          <w:u w:val="single"/>
        </w:rPr>
      </w:pPr>
    </w:p>
    <w:p w14:paraId="39AAF1DF" w14:textId="31CA675B" w:rsidR="00F41BFF" w:rsidRDefault="00F41BFF" w:rsidP="00436E27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D34F3">
        <w:rPr>
          <w:rFonts w:ascii="Times New Roman" w:hAnsi="Times New Roman" w:cs="Times New Roman"/>
          <w:u w:val="single"/>
        </w:rPr>
        <w:t xml:space="preserve">Table </w:t>
      </w:r>
      <w:proofErr w:type="gramStart"/>
      <w:r>
        <w:rPr>
          <w:rFonts w:ascii="Times New Roman" w:hAnsi="Times New Roman" w:cs="Times New Roman"/>
          <w:u w:val="single"/>
        </w:rPr>
        <w:t>7</w:t>
      </w:r>
      <w:proofErr w:type="gramEnd"/>
      <w:r>
        <w:rPr>
          <w:rFonts w:ascii="Times New Roman" w:hAnsi="Times New Roman" w:cs="Times New Roman"/>
          <w:u w:val="single"/>
        </w:rPr>
        <w:t xml:space="preserve"> –</w:t>
      </w:r>
      <w:r w:rsidRPr="00AD34F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Coaching costs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7360"/>
        <w:gridCol w:w="1960"/>
      </w:tblGrid>
      <w:tr w:rsidR="00F41BFF" w:rsidRPr="00F41BFF" w14:paraId="408DF78D" w14:textId="77777777" w:rsidTr="00F41BFF">
        <w:trPr>
          <w:trHeight w:val="300"/>
        </w:trPr>
        <w:tc>
          <w:tcPr>
            <w:tcW w:w="7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E7C5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A4423D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Coaching Costs</w:t>
            </w:r>
          </w:p>
        </w:tc>
      </w:tr>
      <w:tr w:rsidR="00F41BFF" w:rsidRPr="00F41BFF" w14:paraId="56E93262" w14:textId="77777777" w:rsidTr="00F41BFF">
        <w:trPr>
          <w:trHeight w:val="315"/>
        </w:trPr>
        <w:tc>
          <w:tcPr>
            <w:tcW w:w="7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5EAA73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BDC988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(EUR per day)</w:t>
            </w:r>
          </w:p>
        </w:tc>
      </w:tr>
      <w:tr w:rsidR="00F41BFF" w:rsidRPr="00F41BFF" w14:paraId="48B3BF52" w14:textId="77777777" w:rsidTr="00F41BFF">
        <w:trPr>
          <w:trHeight w:val="49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BA7C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84FB91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Solidarity Projects</w:t>
            </w:r>
          </w:p>
        </w:tc>
      </w:tr>
      <w:tr w:rsidR="00F41BFF" w:rsidRPr="00F41BFF" w14:paraId="4F89A1D3" w14:textId="77777777" w:rsidTr="00F41BFF">
        <w:trPr>
          <w:trHeight w:hRule="exact" w:val="284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BF77DE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Austria,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Denmark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Ireland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, Luxembourg,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Netherlands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Sweden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59A2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241</w:t>
            </w:r>
          </w:p>
        </w:tc>
      </w:tr>
      <w:tr w:rsidR="00F41BFF" w:rsidRPr="00F41BFF" w14:paraId="2B4657A3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11ECCC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Belgium, Finland, France, Germany, Italy, United Kingdom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4373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</w:tr>
      <w:tr w:rsidR="00F41BFF" w:rsidRPr="00F41BFF" w14:paraId="062B11EA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9CDF48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Cyprus, Czech Republic, Greece, Malta, Portugal, Slovenia, Spain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A98B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</w:tr>
      <w:tr w:rsidR="00F41BFF" w:rsidRPr="00F41BFF" w14:paraId="5557D86D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5AFE5F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A68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Bulgaria, Croatia, Estonia, Hungary, Latvia, Lithuania, Poland, Romania, Slovakia, Turkey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5D79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</w:tr>
    </w:tbl>
    <w:p w14:paraId="2665B03F" w14:textId="77777777" w:rsidR="00802558" w:rsidRDefault="00802558" w:rsidP="00436E27">
      <w:pPr>
        <w:pStyle w:val="Antrat2"/>
        <w:numPr>
          <w:ilvl w:val="0"/>
          <w:numId w:val="0"/>
        </w:numPr>
        <w:ind w:left="720"/>
        <w:rPr>
          <w:szCs w:val="24"/>
        </w:rPr>
      </w:pPr>
    </w:p>
    <w:p w14:paraId="170C7CA8" w14:textId="77777777" w:rsidR="00F41BFF" w:rsidRDefault="00F41BFF">
      <w:pPr>
        <w:pStyle w:val="Antrat2"/>
      </w:pPr>
      <w:r>
        <w:t>Other eligible costs</w:t>
      </w:r>
    </w:p>
    <w:p w14:paraId="3AE06D03" w14:textId="09FB37BE" w:rsidR="00A55CB7" w:rsidRPr="00436E27" w:rsidRDefault="00802558" w:rsidP="00436E2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6B48">
        <w:rPr>
          <w:rFonts w:ascii="Times New Roman" w:hAnsi="Times New Roman" w:cs="Times New Roman"/>
          <w:sz w:val="24"/>
          <w:szCs w:val="24"/>
        </w:rPr>
        <w:t xml:space="preserve">Some other costs incurred by organisations under the European Solidarity Corps may be eligible. However, since they </w:t>
      </w:r>
      <w:proofErr w:type="gramStart"/>
      <w:r w:rsidRPr="00616B48">
        <w:rPr>
          <w:rFonts w:ascii="Times New Roman" w:hAnsi="Times New Roman" w:cs="Times New Roman"/>
          <w:sz w:val="24"/>
          <w:szCs w:val="24"/>
        </w:rPr>
        <w:t>are not based</w:t>
      </w:r>
      <w:proofErr w:type="gramEnd"/>
      <w:r w:rsidRPr="00616B48">
        <w:rPr>
          <w:rFonts w:ascii="Times New Roman" w:hAnsi="Times New Roman" w:cs="Times New Roman"/>
          <w:sz w:val="24"/>
          <w:szCs w:val="24"/>
        </w:rPr>
        <w:t xml:space="preserve"> on unit costs, they are not detailed here. These </w:t>
      </w:r>
      <w:r>
        <w:rPr>
          <w:rFonts w:ascii="Times New Roman" w:hAnsi="Times New Roman" w:cs="Times New Roman"/>
          <w:sz w:val="24"/>
          <w:szCs w:val="24"/>
        </w:rPr>
        <w:t xml:space="preserve">are Exceptional Costs. </w:t>
      </w:r>
    </w:p>
    <w:p w14:paraId="2B103C95" w14:textId="0596245B" w:rsidR="00F41BFF" w:rsidRPr="00436E27" w:rsidRDefault="00F41BFF" w:rsidP="00436E2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E27">
        <w:rPr>
          <w:rFonts w:ascii="Times New Roman" w:hAnsi="Times New Roman" w:cs="Times New Roman"/>
          <w:sz w:val="24"/>
          <w:szCs w:val="24"/>
        </w:rPr>
        <w:t>For more information, please consult the 201</w:t>
      </w:r>
      <w:r w:rsidR="005A6881" w:rsidRPr="00436E27">
        <w:rPr>
          <w:rFonts w:ascii="Times New Roman" w:hAnsi="Times New Roman" w:cs="Times New Roman"/>
          <w:sz w:val="24"/>
          <w:szCs w:val="24"/>
        </w:rPr>
        <w:t>9</w:t>
      </w:r>
      <w:r w:rsidRPr="00436E27">
        <w:rPr>
          <w:rFonts w:ascii="Times New Roman" w:hAnsi="Times New Roman" w:cs="Times New Roman"/>
          <w:sz w:val="24"/>
          <w:szCs w:val="24"/>
        </w:rPr>
        <w:t xml:space="preserve"> European Solidarity Corps Guide.</w:t>
      </w:r>
    </w:p>
    <w:p w14:paraId="0CC90689" w14:textId="7B2FCE1B" w:rsidR="00F41BFF" w:rsidRPr="00436E27" w:rsidRDefault="00F41BFF" w:rsidP="00AD34F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1BFF" w:rsidRPr="00436E27" w:rsidSect="0012218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3C46"/>
    <w:multiLevelType w:val="hybridMultilevel"/>
    <w:tmpl w:val="4ECC4212"/>
    <w:lvl w:ilvl="0" w:tplc="DDE09100">
      <w:start w:val="1"/>
      <w:numFmt w:val="upperLetter"/>
      <w:pStyle w:val="Antra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C23"/>
    <w:multiLevelType w:val="hybridMultilevel"/>
    <w:tmpl w:val="737E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21AF"/>
    <w:multiLevelType w:val="hybridMultilevel"/>
    <w:tmpl w:val="C12A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25CF6"/>
    <w:multiLevelType w:val="hybridMultilevel"/>
    <w:tmpl w:val="1F62628C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82079"/>
    <w:multiLevelType w:val="hybridMultilevel"/>
    <w:tmpl w:val="EA647C90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52AD7263"/>
    <w:multiLevelType w:val="hybridMultilevel"/>
    <w:tmpl w:val="E916AED6"/>
    <w:lvl w:ilvl="0" w:tplc="D728D0EC">
      <w:start w:val="1"/>
      <w:numFmt w:val="decimal"/>
      <w:pStyle w:val="Antra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37657"/>
    <w:multiLevelType w:val="hybridMultilevel"/>
    <w:tmpl w:val="69288EAC"/>
    <w:lvl w:ilvl="0" w:tplc="ACAA64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016B01"/>
    <w:rsid w:val="000D7CB9"/>
    <w:rsid w:val="00122185"/>
    <w:rsid w:val="00193797"/>
    <w:rsid w:val="001E4F98"/>
    <w:rsid w:val="001F5421"/>
    <w:rsid w:val="0027224A"/>
    <w:rsid w:val="002B74B3"/>
    <w:rsid w:val="002B7D92"/>
    <w:rsid w:val="00394615"/>
    <w:rsid w:val="003E3FCC"/>
    <w:rsid w:val="00427103"/>
    <w:rsid w:val="00430D12"/>
    <w:rsid w:val="00436E27"/>
    <w:rsid w:val="00465DC5"/>
    <w:rsid w:val="004C6A6D"/>
    <w:rsid w:val="005718C6"/>
    <w:rsid w:val="005A6881"/>
    <w:rsid w:val="00656E6C"/>
    <w:rsid w:val="006D1AF1"/>
    <w:rsid w:val="006E7525"/>
    <w:rsid w:val="0072048B"/>
    <w:rsid w:val="007208B8"/>
    <w:rsid w:val="007443FC"/>
    <w:rsid w:val="00802558"/>
    <w:rsid w:val="00850120"/>
    <w:rsid w:val="00866095"/>
    <w:rsid w:val="0089205D"/>
    <w:rsid w:val="008E179D"/>
    <w:rsid w:val="00970744"/>
    <w:rsid w:val="009723B4"/>
    <w:rsid w:val="00991573"/>
    <w:rsid w:val="00996C1C"/>
    <w:rsid w:val="00997EB1"/>
    <w:rsid w:val="009A01BC"/>
    <w:rsid w:val="009D6416"/>
    <w:rsid w:val="009F1623"/>
    <w:rsid w:val="00A55CB7"/>
    <w:rsid w:val="00A91261"/>
    <w:rsid w:val="00AC6EA8"/>
    <w:rsid w:val="00AD34F3"/>
    <w:rsid w:val="00B13280"/>
    <w:rsid w:val="00B716A6"/>
    <w:rsid w:val="00BC496D"/>
    <w:rsid w:val="00BE35D0"/>
    <w:rsid w:val="00C012D3"/>
    <w:rsid w:val="00D16EFE"/>
    <w:rsid w:val="00D36C2F"/>
    <w:rsid w:val="00D60AE3"/>
    <w:rsid w:val="00D962C9"/>
    <w:rsid w:val="00DA0E6A"/>
    <w:rsid w:val="00DE37ED"/>
    <w:rsid w:val="00DE439A"/>
    <w:rsid w:val="00F24269"/>
    <w:rsid w:val="00F34B61"/>
    <w:rsid w:val="00F41BFF"/>
    <w:rsid w:val="00F703C1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9126"/>
  <w15:docId w15:val="{508A4A17-8D42-479F-B46A-7538964A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0120"/>
  </w:style>
  <w:style w:type="paragraph" w:styleId="Antrat1">
    <w:name w:val="heading 1"/>
    <w:basedOn w:val="prastasis"/>
    <w:next w:val="prastasis"/>
    <w:link w:val="Antrat1Diagrama"/>
    <w:uiPriority w:val="9"/>
    <w:qFormat/>
    <w:rsid w:val="00BE35D0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A55CB7"/>
    <w:pPr>
      <w:keepNext/>
      <w:keepLines/>
      <w:numPr>
        <w:numId w:val="7"/>
      </w:numPr>
      <w:spacing w:before="240" w:after="120"/>
      <w:outlineLvl w:val="1"/>
    </w:pPr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3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394615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Pataisymai">
    <w:name w:val="Revision"/>
    <w:hidden/>
    <w:uiPriority w:val="99"/>
    <w:semiHidden/>
    <w:rsid w:val="0019379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BE35D0"/>
    <w:rPr>
      <w:rFonts w:ascii="Times New Roman" w:eastAsiaTheme="majorEastAsia" w:hAnsi="Times New Roman" w:cstheme="majorBidi"/>
      <w:sz w:val="24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55CB7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34B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A68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A688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A688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A688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A68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Year xmlns="cfd06d9f-862c-4359-9a69-c66ff689f26a">2018</Year>
    <Leader_x0020__x0028_unit_x0029_ xmlns="cfd06d9f-862c-4359-9a69-c66ff689f26a">B3</Leader_x0020__x0028_unit_x0029_>
    <Leader_x0020__x0028_staff_x0020_member_x0029_ xmlns="cfd06d9f-862c-4359-9a69-c66ff689f26a">MHM</Leader_x0020__x0028_staff_x0020_member_x0029_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8113-DEDB-4728-AED2-554BB338C303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44823B30-8810-486C-96AD-11160B60A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45BE6-4DDA-4967-B62A-F6484D3B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545AC-AC02-4938-A302-8180CF65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3225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loreta</cp:lastModifiedBy>
  <cp:revision>7</cp:revision>
  <cp:lastPrinted>2016-04-13T08:12:00Z</cp:lastPrinted>
  <dcterms:created xsi:type="dcterms:W3CDTF">2018-12-20T09:06:00Z</dcterms:created>
  <dcterms:modified xsi:type="dcterms:W3CDTF">2019-05-23T12:51:00Z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